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</w:t>
            </w:r>
            <w:r w:rsidRPr="001C54AD">
              <w:rPr>
                <w:sz w:val="28"/>
              </w:rPr>
              <w:t>Федеральный закон от 28.06.1995г. № 98-ФЗ</w:t>
            </w:r>
            <w:r w:rsidR="001C54AD" w:rsidRPr="001C54AD">
              <w:rPr>
                <w:sz w:val="28"/>
              </w:rPr>
              <w:t xml:space="preserve"> «О государственной поддержке молодежных и детских общественных объединений»</w:t>
            </w:r>
            <w:r w:rsidRPr="001C54AD">
              <w:rPr>
                <w:sz w:val="28"/>
              </w:rPr>
              <w:t>, «Основы законодательства РФ о культуре»</w:t>
            </w:r>
            <w:r w:rsidRPr="00454816">
              <w:rPr>
                <w:sz w:val="28"/>
              </w:rPr>
              <w:t xml:space="preserve">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2. Модернизация и укрепление материально – технической базы учреждения культуры, находящегося </w:t>
            </w:r>
            <w:r w:rsidRPr="00454816">
              <w:rPr>
                <w:color w:val="000000"/>
                <w:sz w:val="28"/>
              </w:rPr>
              <w:lastRenderedPageBreak/>
              <w:t>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 w:rsidR="008C5F90">
              <w:rPr>
                <w:b/>
                <w:i/>
                <w:sz w:val="28"/>
              </w:rPr>
              <w:t>17 958 667,46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 w:rsidR="008C5F90">
              <w:rPr>
                <w:b/>
                <w:sz w:val="28"/>
              </w:rPr>
              <w:t>11 550 164,84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 w:rsidR="008C5F90">
              <w:rPr>
                <w:b/>
                <w:sz w:val="28"/>
              </w:rPr>
              <w:t>6 157 768,89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D443F2">
              <w:rPr>
                <w:b/>
                <w:sz w:val="28"/>
              </w:rPr>
              <w:t>2</w:t>
            </w:r>
            <w:r w:rsidR="000A3016">
              <w:rPr>
                <w:b/>
                <w:sz w:val="28"/>
              </w:rPr>
              <w:t> 643 167,15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</w:t>
            </w:r>
            <w:r w:rsidR="001C54AD">
              <w:rPr>
                <w:b/>
                <w:sz w:val="28"/>
              </w:rPr>
              <w:t>2</w:t>
            </w:r>
            <w:r w:rsidR="00550D38">
              <w:rPr>
                <w:b/>
                <w:sz w:val="28"/>
              </w:rPr>
              <w:t> 749 228,80</w:t>
            </w:r>
            <w:r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82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8C5F90" w:rsidP="002E74F5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13 276 453,35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8C5F90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7 905 725,91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8C5F90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6 129 998,91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Бюджет 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D443F2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lastRenderedPageBreak/>
        <w:t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</w:t>
            </w:r>
            <w:r w:rsidRPr="00454816">
              <w:rPr>
                <w:sz w:val="28"/>
              </w:rPr>
              <w:lastRenderedPageBreak/>
              <w:t>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2-й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8C5F90" w:rsidP="000A3016">
            <w:pPr>
              <w:pStyle w:val="a5"/>
              <w:jc w:val="center"/>
            </w:pPr>
            <w:r>
              <w:rPr>
                <w:b/>
                <w:sz w:val="28"/>
              </w:rPr>
              <w:t>13 276 453,35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8C5F90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7 905 725,91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8C5F90" w:rsidP="000A3016">
            <w:pPr>
              <w:pStyle w:val="a5"/>
              <w:jc w:val="center"/>
              <w:rPr>
                <w:b/>
              </w:rPr>
            </w:pPr>
            <w:r>
              <w:rPr>
                <w:b/>
                <w:sz w:val="28"/>
              </w:rPr>
              <w:t>11 500 726,35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8C5F90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6 129 998,91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1 775 727</w:t>
            </w:r>
            <w:r w:rsidR="00E021C7">
              <w:rPr>
                <w:b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E021C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0A30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0A3016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lastRenderedPageBreak/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0A3016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559" w:type="dxa"/>
          </w:tcPr>
          <w:p w:rsidR="006F7EB4" w:rsidRPr="006F7EB4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0A3016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559" w:type="dxa"/>
          </w:tcPr>
          <w:p w:rsidR="006F7EB4" w:rsidRPr="006F7EB4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1"/>
        <w:gridCol w:w="2076"/>
        <w:gridCol w:w="1686"/>
        <w:gridCol w:w="1428"/>
        <w:gridCol w:w="1574"/>
      </w:tblGrid>
      <w:tr w:rsidR="00D94014" w:rsidRPr="00454816" w:rsidTr="00ED369D">
        <w:trPr>
          <w:trHeight w:val="1020"/>
        </w:trPr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ED369D">
        <w:trPr>
          <w:trHeight w:val="559"/>
        </w:trPr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  <w:tr w:rsidR="00ED369D" w:rsidRPr="00454816" w:rsidTr="00ED369D">
        <w:tc>
          <w:tcPr>
            <w:tcW w:w="3216" w:type="dxa"/>
          </w:tcPr>
          <w:p w:rsidR="00ED369D" w:rsidRPr="00454816" w:rsidRDefault="00ED369D" w:rsidP="00ED369D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ED369D" w:rsidRPr="00454816" w:rsidRDefault="00ED369D" w:rsidP="00ED369D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</w:t>
            </w:r>
            <w:r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lastRenderedPageBreak/>
              <w:t>(показатели)</w:t>
            </w:r>
          </w:p>
          <w:p w:rsidR="00ED369D" w:rsidRPr="00454816" w:rsidRDefault="00ED369D" w:rsidP="00ED369D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ED369D" w:rsidRPr="00454816" w:rsidRDefault="00ED369D" w:rsidP="006F1B53">
            <w:pPr>
              <w:pStyle w:val="a5"/>
              <w:rPr>
                <w:sz w:val="28"/>
              </w:rPr>
            </w:pPr>
          </w:p>
        </w:tc>
        <w:tc>
          <w:tcPr>
            <w:tcW w:w="6689" w:type="dxa"/>
            <w:gridSpan w:val="4"/>
          </w:tcPr>
          <w:p w:rsidR="00ED369D" w:rsidRDefault="00ED369D" w:rsidP="006F1B53">
            <w:pPr>
              <w:pStyle w:val="a5"/>
              <w:rPr>
                <w:kern w:val="24"/>
                <w:sz w:val="28"/>
                <w:lang w:eastAsia="ar-SA"/>
              </w:rPr>
            </w:pPr>
            <w:r>
              <w:rPr>
                <w:kern w:val="24"/>
                <w:sz w:val="28"/>
                <w:lang w:eastAsia="ar-SA"/>
              </w:rPr>
              <w:lastRenderedPageBreak/>
              <w:t>1.  Увеличение числа жителей поселения, принимающих участие в мероприятиях</w:t>
            </w:r>
            <w:r w:rsidR="00397578">
              <w:rPr>
                <w:kern w:val="24"/>
                <w:sz w:val="28"/>
                <w:lang w:eastAsia="ar-SA"/>
              </w:rPr>
              <w:t>;</w:t>
            </w:r>
          </w:p>
          <w:p w:rsidR="00397578" w:rsidRPr="00454816" w:rsidRDefault="00397578" w:rsidP="006F1B53">
            <w:pPr>
              <w:pStyle w:val="a5"/>
              <w:rPr>
                <w:kern w:val="24"/>
                <w:sz w:val="28"/>
                <w:lang w:eastAsia="ar-SA"/>
              </w:rPr>
            </w:pPr>
            <w:r>
              <w:rPr>
                <w:kern w:val="24"/>
                <w:sz w:val="28"/>
                <w:lang w:eastAsia="ar-SA"/>
              </w:rPr>
              <w:lastRenderedPageBreak/>
              <w:t>2. Формирование здорового образа жизни.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 w:val="restart"/>
          </w:tcPr>
          <w:p w:rsidR="00ED369D" w:rsidRPr="00454816" w:rsidRDefault="00ED369D" w:rsidP="000A30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2105" w:type="dxa"/>
            <w:vMerge w:val="restart"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 w:rsidRPr="002242FC">
              <w:rPr>
                <w:sz w:val="28"/>
              </w:rPr>
              <w:t xml:space="preserve"> г.                (руб.)                    </w:t>
            </w:r>
          </w:p>
          <w:p w:rsidR="00ED369D" w:rsidRPr="002242FC" w:rsidRDefault="00ED369D" w:rsidP="000A30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2 776 998,78</w:t>
            </w:r>
          </w:p>
        </w:tc>
        <w:tc>
          <w:tcPr>
            <w:tcW w:w="4584" w:type="dxa"/>
            <w:gridSpan w:val="3"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rPr>
                <w:sz w:val="28"/>
              </w:rPr>
            </w:pPr>
          </w:p>
        </w:tc>
        <w:tc>
          <w:tcPr>
            <w:tcW w:w="2105" w:type="dxa"/>
            <w:vMerge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32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</w:tr>
      <w:tr w:rsidR="00ED369D" w:rsidRPr="006F2C05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ED369D" w:rsidRPr="002242FC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2 776 998,78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</w:tr>
      <w:tr w:rsidR="00ED369D" w:rsidRPr="006F2C05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D369D" w:rsidRPr="002242FC" w:rsidRDefault="00ED369D" w:rsidP="00550D38">
            <w:pPr>
              <w:pStyle w:val="a5"/>
              <w:spacing w:after="240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  <w:r>
              <w:rPr>
                <w:b/>
                <w:sz w:val="28"/>
              </w:rPr>
              <w:t xml:space="preserve"> </w:t>
            </w:r>
            <w:r w:rsidR="00550D38">
              <w:rPr>
                <w:b/>
                <w:sz w:val="28"/>
              </w:rPr>
              <w:t>27 769,98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550D38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27 769,98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D369D" w:rsidRDefault="00ED369D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средств  </w:t>
            </w:r>
            <w:r w:rsidR="000A3016">
              <w:rPr>
                <w:sz w:val="28"/>
              </w:rPr>
              <w:t>об</w:t>
            </w:r>
            <w:r>
              <w:rPr>
                <w:sz w:val="28"/>
              </w:rPr>
              <w:t>ластного</w:t>
            </w:r>
            <w:r w:rsidRPr="00454816">
              <w:rPr>
                <w:sz w:val="28"/>
              </w:rPr>
              <w:t xml:space="preserve"> бюджета</w:t>
            </w:r>
            <w:r w:rsidRPr="002242FC">
              <w:rPr>
                <w:sz w:val="28"/>
              </w:rPr>
              <w:t xml:space="preserve">      </w:t>
            </w:r>
          </w:p>
          <w:p w:rsidR="00ED369D" w:rsidRPr="00ED369D" w:rsidRDefault="00ED369D" w:rsidP="00550D38">
            <w:pPr>
              <w:pStyle w:val="a5"/>
              <w:rPr>
                <w:b/>
                <w:sz w:val="28"/>
              </w:rPr>
            </w:pPr>
            <w:r w:rsidRPr="00ED369D">
              <w:rPr>
                <w:b/>
                <w:sz w:val="28"/>
              </w:rPr>
              <w:t>2</w:t>
            </w:r>
            <w:r w:rsidR="00550D38">
              <w:rPr>
                <w:b/>
                <w:sz w:val="28"/>
              </w:rPr>
              <w:t> 749 228,80</w:t>
            </w:r>
            <w:r w:rsidRPr="00ED369D">
              <w:rPr>
                <w:b/>
                <w:sz w:val="28"/>
              </w:rPr>
              <w:t xml:space="preserve">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2242FC" w:rsidRDefault="00550D38" w:rsidP="00550D38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2 749 228,80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2242FC" w:rsidRDefault="00ED369D" w:rsidP="00ED369D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2242FC" w:rsidRDefault="00ED369D" w:rsidP="00ED369D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  <w:tr w:rsidR="00397578" w:rsidRPr="00454816" w:rsidTr="006F1B53">
        <w:tc>
          <w:tcPr>
            <w:tcW w:w="644" w:type="dxa"/>
          </w:tcPr>
          <w:p w:rsidR="00397578" w:rsidRPr="00454816" w:rsidRDefault="00397578" w:rsidP="006F1B53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926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684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492" w:type="dxa"/>
          </w:tcPr>
          <w:p w:rsidR="00397578" w:rsidRDefault="00397578" w:rsidP="00397578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397578">
        <w:tc>
          <w:tcPr>
            <w:tcW w:w="648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739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518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397578">
        <w:tc>
          <w:tcPr>
            <w:tcW w:w="648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739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397578"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397578">
        <w:trPr>
          <w:trHeight w:val="1973"/>
        </w:trPr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397578"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Увеличение численность населения, систематически, участвующих в спортивных мероприятиях общей </w:t>
            </w:r>
            <w:r w:rsidRPr="00454816">
              <w:rPr>
                <w:sz w:val="28"/>
              </w:rPr>
              <w:lastRenderedPageBreak/>
              <w:t>численности населения.</w:t>
            </w: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  <w:tr w:rsidR="00397578" w:rsidRPr="00454816" w:rsidTr="00397578">
        <w:tc>
          <w:tcPr>
            <w:tcW w:w="648" w:type="dxa"/>
          </w:tcPr>
          <w:p w:rsidR="00397578" w:rsidRPr="00454816" w:rsidRDefault="00397578" w:rsidP="000A3016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4739" w:type="dxa"/>
          </w:tcPr>
          <w:p w:rsidR="00397578" w:rsidRPr="00454816" w:rsidRDefault="00397578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471" w:type="dxa"/>
          </w:tcPr>
          <w:p w:rsidR="00397578" w:rsidRPr="00454816" w:rsidRDefault="00397578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61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90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841"/>
        <w:gridCol w:w="1630"/>
        <w:gridCol w:w="1439"/>
        <w:gridCol w:w="28"/>
      </w:tblGrid>
      <w:tr w:rsidR="00D94014" w:rsidRPr="00454816" w:rsidTr="00397578">
        <w:trPr>
          <w:trHeight w:val="569"/>
          <w:tblHeader/>
          <w:tblCellSpacing w:w="5" w:type="nil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397578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397578">
        <w:trPr>
          <w:gridAfter w:val="1"/>
          <w:wAfter w:w="28" w:type="dxa"/>
          <w:trHeight w:val="31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397578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397578">
              <w:rPr>
                <w:b/>
                <w:sz w:val="28"/>
              </w:rPr>
              <w:t>2 776 998,78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2 776 998,78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97578" w:rsidRPr="00454816" w:rsidTr="00397578">
        <w:trPr>
          <w:gridAfter w:val="1"/>
          <w:wAfter w:w="28" w:type="dxa"/>
          <w:trHeight w:val="203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Укрепление материально-технической базы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454 545,45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397578" w:rsidRDefault="00397578" w:rsidP="006F1B53">
            <w:pPr>
              <w:pStyle w:val="a5"/>
              <w:jc w:val="center"/>
              <w:rPr>
                <w:color w:val="000000" w:themeColor="text1"/>
                <w:sz w:val="28"/>
              </w:rPr>
            </w:pPr>
            <w:r w:rsidRPr="00397578">
              <w:rPr>
                <w:color w:val="000000" w:themeColor="text1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D94014" w:rsidRPr="00454816" w:rsidTr="00397578">
        <w:trPr>
          <w:gridAfter w:val="1"/>
          <w:wAfter w:w="28" w:type="dxa"/>
          <w:trHeight w:val="203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397578">
        <w:trPr>
          <w:gridAfter w:val="1"/>
          <w:wAfter w:w="28" w:type="dxa"/>
          <w:trHeight w:val="394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397578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2 322 453,33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sz w:val="28"/>
              </w:rPr>
            </w:pP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550D38" w:rsidP="000A3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23 224,53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397578" w:rsidP="000A3016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397578" w:rsidP="000A3016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550D38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50D38">
              <w:rPr>
                <w:sz w:val="28"/>
              </w:rPr>
              <w:t> 299 228,80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Подпрограмма</w:t>
      </w:r>
      <w:r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A665FF" w:rsidRPr="00C90B76" w:rsidRDefault="00A665FF" w:rsidP="00C90B7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Пос</w:t>
            </w:r>
            <w:r w:rsidR="00C90B76"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тановление Правительства РФ от 11.02.2021г. № 161</w:t>
            </w:r>
            <w:r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="00C90B76"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C90B76">
              <w:rPr>
                <w:sz w:val="23"/>
                <w:szCs w:val="23"/>
              </w:rPr>
              <w:t>»;</w:t>
            </w:r>
            <w:r w:rsidRPr="000C6AF9">
              <w:rPr>
                <w:sz w:val="23"/>
                <w:szCs w:val="23"/>
              </w:rPr>
              <w:t xml:space="preserve"> </w:t>
            </w:r>
          </w:p>
          <w:p w:rsidR="00A665FF" w:rsidRPr="000C6AF9" w:rsidRDefault="00A665FF" w:rsidP="00C90B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>-Приказ Минэнерго</w:t>
            </w:r>
            <w:r w:rsidR="00C90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A665FF" w:rsidRDefault="00A665FF" w:rsidP="00A42802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A665FF" w:rsidRPr="000C6AF9" w:rsidRDefault="00A665FF" w:rsidP="00A42802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A665FF" w:rsidRPr="000C6AF9" w:rsidRDefault="00A665FF" w:rsidP="00A4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A665FF" w:rsidRPr="000C6AF9" w:rsidRDefault="00A665FF" w:rsidP="00A42802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16368 кВт.ч        /  208,268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15550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  Гкал     /      90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14773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 Гкал    /        85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A665FF" w:rsidRPr="000C6AF9" w:rsidTr="00A42802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A665FF" w:rsidRPr="000C6AF9" w:rsidTr="00A42802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</w:p>
    <w:p w:rsidR="00A665FF" w:rsidRPr="000C6AF9" w:rsidRDefault="00A665FF" w:rsidP="00A665FF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A665FF" w:rsidRPr="000C6AF9" w:rsidRDefault="00A665FF" w:rsidP="00A665FF">
      <w:pPr>
        <w:pStyle w:val="ac"/>
        <w:spacing w:after="0"/>
        <w:ind w:left="0"/>
        <w:jc w:val="center"/>
        <w:rPr>
          <w:b/>
        </w:rPr>
      </w:pPr>
    </w:p>
    <w:p w:rsidR="00A665FF" w:rsidRPr="000C6AF9" w:rsidRDefault="00A665FF" w:rsidP="00A665FF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>
        <w:t>1401,5</w:t>
      </w:r>
      <w:r w:rsidRPr="000C6AF9">
        <w:t xml:space="preserve"> кв.м ),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>
        <w:t>енческий- 2 чел. специалисты – 5</w:t>
      </w:r>
      <w:r w:rsidRPr="000C6AF9">
        <w:t xml:space="preserve"> чел., обслуживающий персонал-1 чел.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A665FF" w:rsidRPr="000C6AF9" w:rsidTr="00A42802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A665FF" w:rsidRPr="000C6AF9" w:rsidTr="00A42802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A665FF" w:rsidRPr="000C6AF9" w:rsidTr="00A42802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A665FF" w:rsidRPr="00573167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Pr="0069287C">
        <w:rPr>
          <w:rFonts w:ascii="Times New Roman" w:hAnsi="Times New Roman" w:cs="Times New Roman"/>
          <w:bCs/>
        </w:rPr>
        <w:t>1167533</w:t>
      </w:r>
      <w:r w:rsidRPr="0069287C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A665FF" w:rsidRPr="000C6AF9" w:rsidRDefault="00A665FF" w:rsidP="00A665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>
        <w:rPr>
          <w:rFonts w:ascii="Times New Roman" w:hAnsi="Times New Roman" w:cs="Times New Roman"/>
          <w:sz w:val="24"/>
          <w:szCs w:val="24"/>
        </w:rPr>
        <w:t>5%;</w:t>
      </w:r>
    </w:p>
    <w:p w:rsidR="00A665FF" w:rsidRPr="000C6AF9" w:rsidRDefault="00A665FF" w:rsidP="00A665FF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A665FF" w:rsidRPr="00AB712F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665FF" w:rsidRPr="000C6AF9" w:rsidRDefault="00A665FF" w:rsidP="00A665FF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A665FF" w:rsidRPr="000C6AF9" w:rsidRDefault="00A665FF" w:rsidP="00A665FF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665FF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</w:p>
    <w:p w:rsidR="00A665FF" w:rsidRPr="000C6AF9" w:rsidRDefault="00A665FF" w:rsidP="00A665FF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  <w:sectPr w:rsidR="00A665FF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A665FF" w:rsidRPr="000C6AF9" w:rsidRDefault="00A665FF" w:rsidP="00A665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A665FF" w:rsidRPr="000C6AF9" w:rsidRDefault="00A665FF" w:rsidP="00A665F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A665FF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231197050"/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16368 кВт.ч        /  208,268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15550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197,855  Гкал     /      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187,963 Гкал    /        85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сэкономлено </w:t>
      </w:r>
      <w:r>
        <w:rPr>
          <w:rFonts w:ascii="Times New Roman" w:hAnsi="Times New Roman" w:cs="Times New Roman"/>
        </w:rPr>
        <w:t>101911,59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665FF" w:rsidRPr="000C6AF9" w:rsidRDefault="00A665FF" w:rsidP="00A665FF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8" w:tblpY="179"/>
        <w:tblW w:w="10863" w:type="dxa"/>
        <w:tblLook w:val="04A0"/>
      </w:tblPr>
      <w:tblGrid>
        <w:gridCol w:w="1466"/>
        <w:gridCol w:w="1153"/>
        <w:gridCol w:w="1699"/>
        <w:gridCol w:w="1443"/>
        <w:gridCol w:w="1166"/>
        <w:gridCol w:w="1257"/>
        <w:gridCol w:w="1257"/>
        <w:gridCol w:w="1422"/>
      </w:tblGrid>
      <w:tr w:rsidR="00A665FF" w:rsidTr="00A42802">
        <w:trPr>
          <w:trHeight w:val="2407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Показатель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Удельное годовое значение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Целевой уровень экономии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46,19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1,66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Default="00A665FF" w:rsidP="00A42802">
            <w:pPr>
              <w:jc w:val="right"/>
              <w:rPr>
                <w:rFonts w:ascii="Stem" w:hAnsi="Stem" w:cs="Calibri"/>
                <w:color w:val="000000"/>
                <w:sz w:val="20"/>
                <w:szCs w:val="20"/>
              </w:rPr>
            </w:pPr>
            <w:r>
              <w:rPr>
                <w:rFonts w:ascii="Stem" w:hAnsi="Stem" w:cs="Calibri"/>
                <w:color w:val="000000"/>
                <w:sz w:val="20"/>
                <w:szCs w:val="20"/>
              </w:rPr>
              <w:t>Потребление электрической энергии, кВтч/м2</w:t>
            </w:r>
          </w:p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13,40</w:t>
            </w:r>
          </w:p>
        </w:tc>
      </w:tr>
    </w:tbl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Sect="00A4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A665FF" w:rsidRPr="000C6AF9" w:rsidRDefault="00A665FF" w:rsidP="00A665FF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A665FF" w:rsidRPr="000C6AF9" w:rsidTr="00A42802">
        <w:trPr>
          <w:trHeight w:val="273"/>
        </w:trPr>
        <w:tc>
          <w:tcPr>
            <w:tcW w:w="5320" w:type="dxa"/>
            <w:vMerge w:val="restart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A665FF" w:rsidRPr="000C6AF9" w:rsidTr="00A42802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1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5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7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1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5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8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0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7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5FF" w:rsidRPr="000C6AF9" w:rsidRDefault="00A665FF" w:rsidP="00A665FF">
      <w:pPr>
        <w:spacing w:after="0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RPr="000C6AF9" w:rsidSect="00A42802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65FF" w:rsidRPr="000C6AF9" w:rsidRDefault="00A665FF" w:rsidP="00A665FF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6CDA">
        <w:rPr>
          <w:rFonts w:ascii="Times New Roman" w:hAnsi="Times New Roman" w:cs="Times New Roman"/>
        </w:rPr>
        <w:t>на 2024-2026  годы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A665FF" w:rsidRPr="00866CDA" w:rsidTr="00A42802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Экономия за 2024-2026 гг</w:t>
            </w:r>
          </w:p>
        </w:tc>
      </w:tr>
      <w:tr w:rsidR="00A665FF" w:rsidRPr="00866CDA" w:rsidTr="00A42802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16368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- 1595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A665FF" w:rsidRPr="00866CDA" w:rsidTr="00A42802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A665FF" w:rsidRPr="00866CDA" w:rsidTr="00A42802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208,268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A665FF" w:rsidRPr="00866CDA" w:rsidTr="00A42802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A665FF" w:rsidRPr="000C6AF9" w:rsidTr="00A42802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FF" w:rsidRPr="00AB712F" w:rsidRDefault="00A665FF" w:rsidP="00A665FF">
      <w:pPr>
        <w:rPr>
          <w:rFonts w:ascii="Times New Roman" w:hAnsi="Times New Roman" w:cs="Times New Roman"/>
        </w:rPr>
      </w:pPr>
    </w:p>
    <w:p w:rsidR="00A665FF" w:rsidRDefault="00A665FF" w:rsidP="00A665FF"/>
    <w:p w:rsidR="00AB712F" w:rsidRPr="00AB712F" w:rsidRDefault="00AB712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AB712F" w:rsidRPr="00AB712F" w:rsidSect="00A665F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F5" w:rsidRDefault="002864F5" w:rsidP="002664F9">
      <w:pPr>
        <w:spacing w:after="0" w:line="240" w:lineRule="auto"/>
      </w:pPr>
      <w:r>
        <w:separator/>
      </w:r>
    </w:p>
  </w:endnote>
  <w:endnote w:type="continuationSeparator" w:id="1">
    <w:p w:rsidR="002864F5" w:rsidRDefault="002864F5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F5" w:rsidRDefault="002864F5" w:rsidP="002664F9">
      <w:pPr>
        <w:spacing w:after="0" w:line="240" w:lineRule="auto"/>
      </w:pPr>
      <w:r>
        <w:separator/>
      </w:r>
    </w:p>
  </w:footnote>
  <w:footnote w:type="continuationSeparator" w:id="1">
    <w:p w:rsidR="002864F5" w:rsidRDefault="002864F5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1CE4"/>
    <w:rsid w:val="00084031"/>
    <w:rsid w:val="000A3016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59BD"/>
    <w:rsid w:val="00156A22"/>
    <w:rsid w:val="001608AE"/>
    <w:rsid w:val="00165584"/>
    <w:rsid w:val="00166026"/>
    <w:rsid w:val="00184A92"/>
    <w:rsid w:val="0019068C"/>
    <w:rsid w:val="00191531"/>
    <w:rsid w:val="001B028B"/>
    <w:rsid w:val="001B08DC"/>
    <w:rsid w:val="001C54AD"/>
    <w:rsid w:val="001F08B1"/>
    <w:rsid w:val="001F10F6"/>
    <w:rsid w:val="00204AFD"/>
    <w:rsid w:val="00204D2C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4F5"/>
    <w:rsid w:val="00286BB9"/>
    <w:rsid w:val="00290E01"/>
    <w:rsid w:val="002A1FBA"/>
    <w:rsid w:val="002A28B6"/>
    <w:rsid w:val="002A3856"/>
    <w:rsid w:val="002B19A9"/>
    <w:rsid w:val="002E7209"/>
    <w:rsid w:val="002E74F5"/>
    <w:rsid w:val="00312373"/>
    <w:rsid w:val="0033209D"/>
    <w:rsid w:val="00350F7E"/>
    <w:rsid w:val="00356C97"/>
    <w:rsid w:val="003603E9"/>
    <w:rsid w:val="0036327A"/>
    <w:rsid w:val="00387666"/>
    <w:rsid w:val="0039217B"/>
    <w:rsid w:val="00397578"/>
    <w:rsid w:val="003B2AFA"/>
    <w:rsid w:val="003B4409"/>
    <w:rsid w:val="003C7FD8"/>
    <w:rsid w:val="003D2915"/>
    <w:rsid w:val="003F209D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267"/>
    <w:rsid w:val="00457879"/>
    <w:rsid w:val="0046295C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0D38"/>
    <w:rsid w:val="00557B98"/>
    <w:rsid w:val="00564E20"/>
    <w:rsid w:val="00573DB1"/>
    <w:rsid w:val="00580CDB"/>
    <w:rsid w:val="0058329B"/>
    <w:rsid w:val="005B404C"/>
    <w:rsid w:val="005C6181"/>
    <w:rsid w:val="005C75AE"/>
    <w:rsid w:val="005E0816"/>
    <w:rsid w:val="005E2AB7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3201C"/>
    <w:rsid w:val="0065395B"/>
    <w:rsid w:val="00660A82"/>
    <w:rsid w:val="00676126"/>
    <w:rsid w:val="0068124C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3C2D"/>
    <w:rsid w:val="006F5992"/>
    <w:rsid w:val="006F7EB4"/>
    <w:rsid w:val="00701835"/>
    <w:rsid w:val="00703812"/>
    <w:rsid w:val="0071404A"/>
    <w:rsid w:val="00725D55"/>
    <w:rsid w:val="007264D9"/>
    <w:rsid w:val="00726C96"/>
    <w:rsid w:val="00753EB7"/>
    <w:rsid w:val="00756C61"/>
    <w:rsid w:val="0076372F"/>
    <w:rsid w:val="00763D21"/>
    <w:rsid w:val="0076673E"/>
    <w:rsid w:val="00771187"/>
    <w:rsid w:val="00774765"/>
    <w:rsid w:val="007749D6"/>
    <w:rsid w:val="0078224A"/>
    <w:rsid w:val="00787406"/>
    <w:rsid w:val="007A5728"/>
    <w:rsid w:val="007A73BE"/>
    <w:rsid w:val="007B35E3"/>
    <w:rsid w:val="007C70EC"/>
    <w:rsid w:val="007E2C15"/>
    <w:rsid w:val="007E2CA2"/>
    <w:rsid w:val="007F2B3A"/>
    <w:rsid w:val="007F3453"/>
    <w:rsid w:val="007F3A6B"/>
    <w:rsid w:val="008011CB"/>
    <w:rsid w:val="008047CC"/>
    <w:rsid w:val="00807595"/>
    <w:rsid w:val="00816D60"/>
    <w:rsid w:val="00826B02"/>
    <w:rsid w:val="00830C97"/>
    <w:rsid w:val="00837C7A"/>
    <w:rsid w:val="00855F2B"/>
    <w:rsid w:val="008579D1"/>
    <w:rsid w:val="0086493C"/>
    <w:rsid w:val="0088665A"/>
    <w:rsid w:val="00892212"/>
    <w:rsid w:val="008A27E4"/>
    <w:rsid w:val="008A65D4"/>
    <w:rsid w:val="008C56DF"/>
    <w:rsid w:val="008C5F90"/>
    <w:rsid w:val="008D1B54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313CB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A4190"/>
    <w:rsid w:val="009B1661"/>
    <w:rsid w:val="009B2EB5"/>
    <w:rsid w:val="009B361B"/>
    <w:rsid w:val="009C13D3"/>
    <w:rsid w:val="009E30BE"/>
    <w:rsid w:val="00A12675"/>
    <w:rsid w:val="00A20555"/>
    <w:rsid w:val="00A27F08"/>
    <w:rsid w:val="00A42802"/>
    <w:rsid w:val="00A53D8E"/>
    <w:rsid w:val="00A62698"/>
    <w:rsid w:val="00A665FF"/>
    <w:rsid w:val="00A75761"/>
    <w:rsid w:val="00A91D37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05679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3D02"/>
    <w:rsid w:val="00BB61CB"/>
    <w:rsid w:val="00BB7515"/>
    <w:rsid w:val="00BC79B5"/>
    <w:rsid w:val="00BD48D4"/>
    <w:rsid w:val="00BD76F3"/>
    <w:rsid w:val="00BF2C62"/>
    <w:rsid w:val="00BF5B54"/>
    <w:rsid w:val="00C10B5A"/>
    <w:rsid w:val="00C1207B"/>
    <w:rsid w:val="00C1510E"/>
    <w:rsid w:val="00C22231"/>
    <w:rsid w:val="00C30330"/>
    <w:rsid w:val="00C477A8"/>
    <w:rsid w:val="00C6587E"/>
    <w:rsid w:val="00C66122"/>
    <w:rsid w:val="00C67267"/>
    <w:rsid w:val="00C7271A"/>
    <w:rsid w:val="00C86567"/>
    <w:rsid w:val="00C90B76"/>
    <w:rsid w:val="00C92227"/>
    <w:rsid w:val="00CA00E1"/>
    <w:rsid w:val="00CA6AD4"/>
    <w:rsid w:val="00CB4E9B"/>
    <w:rsid w:val="00CC41EE"/>
    <w:rsid w:val="00CF2C30"/>
    <w:rsid w:val="00CF3030"/>
    <w:rsid w:val="00D038A7"/>
    <w:rsid w:val="00D26B2F"/>
    <w:rsid w:val="00D31CBF"/>
    <w:rsid w:val="00D348B2"/>
    <w:rsid w:val="00D3795E"/>
    <w:rsid w:val="00D443F2"/>
    <w:rsid w:val="00D50E86"/>
    <w:rsid w:val="00D778FA"/>
    <w:rsid w:val="00D90274"/>
    <w:rsid w:val="00D94014"/>
    <w:rsid w:val="00DA5805"/>
    <w:rsid w:val="00DB10BB"/>
    <w:rsid w:val="00DB7D5B"/>
    <w:rsid w:val="00DC5092"/>
    <w:rsid w:val="00DC6DFC"/>
    <w:rsid w:val="00DC7055"/>
    <w:rsid w:val="00DE5771"/>
    <w:rsid w:val="00DE65CC"/>
    <w:rsid w:val="00E021C7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2C0D"/>
    <w:rsid w:val="00EA3A20"/>
    <w:rsid w:val="00EA642E"/>
    <w:rsid w:val="00EA6B69"/>
    <w:rsid w:val="00EA747D"/>
    <w:rsid w:val="00EB367C"/>
    <w:rsid w:val="00EC55B6"/>
    <w:rsid w:val="00ED369D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uiPriority w:val="59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33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2024-10-28T11:45:00Z</cp:lastPrinted>
  <dcterms:created xsi:type="dcterms:W3CDTF">2023-12-26T11:57:00Z</dcterms:created>
  <dcterms:modified xsi:type="dcterms:W3CDTF">2024-12-24T12:23:00Z</dcterms:modified>
</cp:coreProperties>
</file>