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C67267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2024-2026</w:t>
      </w:r>
      <w:r w:rsidR="00454816" w:rsidRPr="00454816">
        <w:rPr>
          <w:b/>
          <w:sz w:val="28"/>
        </w:rPr>
        <w:t xml:space="preserve"> г.г.»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C67267">
              <w:rPr>
                <w:sz w:val="28"/>
              </w:rPr>
              <w:t>ии в 2024-2026</w:t>
            </w:r>
            <w:r w:rsidRPr="00454816">
              <w:rPr>
                <w:sz w:val="28"/>
              </w:rPr>
              <w:t xml:space="preserve"> г.г.»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закон от 28.06.1995г. № 98-ФЗ, «Основы законодательства РФ о культуре»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2. Модернизация и укрепление материально – технической базы учреждения культуры, находящегося 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</w:t>
            </w:r>
            <w:r w:rsidRPr="00454816">
              <w:rPr>
                <w:color w:val="000000"/>
                <w:sz w:val="28"/>
              </w:rPr>
              <w:lastRenderedPageBreak/>
              <w:t xml:space="preserve">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1089" w:rsidRPr="00B2268C" w:rsidRDefault="00231089" w:rsidP="00231089">
            <w:pPr>
              <w:pStyle w:val="a5"/>
              <w:jc w:val="both"/>
              <w:rPr>
                <w:b/>
                <w:i/>
                <w:sz w:val="28"/>
              </w:rPr>
            </w:pPr>
            <w:r w:rsidRPr="00B2268C">
              <w:rPr>
                <w:b/>
                <w:i/>
                <w:sz w:val="28"/>
              </w:rPr>
              <w:t xml:space="preserve">Всего по программе:  </w:t>
            </w:r>
            <w:r>
              <w:rPr>
                <w:b/>
                <w:i/>
                <w:sz w:val="28"/>
              </w:rPr>
              <w:t>12</w:t>
            </w:r>
            <w:r w:rsidR="00A42802">
              <w:rPr>
                <w:b/>
                <w:i/>
                <w:sz w:val="28"/>
              </w:rPr>
              <w:t> 828 233</w:t>
            </w:r>
            <w:r w:rsidR="006F1B53">
              <w:rPr>
                <w:b/>
                <w:i/>
                <w:sz w:val="28"/>
              </w:rPr>
              <w:t>,81</w:t>
            </w:r>
            <w:r w:rsidRPr="00B2268C">
              <w:rPr>
                <w:b/>
                <w:i/>
                <w:sz w:val="28"/>
              </w:rPr>
              <w:t xml:space="preserve"> рублей.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6</w:t>
            </w:r>
            <w:r w:rsidR="00A42802">
              <w:rPr>
                <w:b/>
                <w:sz w:val="28"/>
              </w:rPr>
              <w:t> 417 731</w:t>
            </w:r>
            <w:r w:rsidR="006F1B53">
              <w:rPr>
                <w:b/>
                <w:sz w:val="28"/>
              </w:rPr>
              <w:t>,19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5 126 029,47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 w:rsidR="00A42802">
              <w:rPr>
                <w:b/>
                <w:sz w:val="28"/>
              </w:rPr>
              <w:t>841 701</w:t>
            </w:r>
            <w:r w:rsidR="006F1B53">
              <w:rPr>
                <w:b/>
                <w:sz w:val="28"/>
              </w:rPr>
              <w:t>,72</w:t>
            </w:r>
            <w:r w:rsidRPr="00B2268C"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областного бюджета </w:t>
            </w:r>
            <w:r>
              <w:rPr>
                <w:b/>
                <w:sz w:val="28"/>
              </w:rPr>
              <w:t xml:space="preserve">– 450 000,00 </w:t>
            </w:r>
            <w:r w:rsidRPr="00B2268C">
              <w:rPr>
                <w:sz w:val="28"/>
              </w:rPr>
              <w:t>руб.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B2268C">
              <w:rPr>
                <w:sz w:val="28"/>
              </w:rPr>
              <w:t xml:space="preserve"> год </w:t>
            </w:r>
            <w:r>
              <w:rPr>
                <w:b/>
                <w:sz w:val="28"/>
              </w:rPr>
              <w:t>4 187 450,31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3 667 562,72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 xml:space="preserve">руб. 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2 223 052,31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1 703 164,72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b/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6A0E56" w:rsidRPr="00454816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532BC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D94014" w:rsidP="008011C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Программа имеет 4</w:t>
            </w:r>
            <w:r w:rsidR="00454816" w:rsidRPr="00454816">
              <w:rPr>
                <w:sz w:val="28"/>
              </w:rPr>
              <w:t xml:space="preserve">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D94014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D94014" w:rsidRPr="00D94014" w:rsidRDefault="00D94014" w:rsidP="00D94014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25493C">
              <w:rPr>
                <w:sz w:val="28"/>
              </w:rPr>
              <w:t>15420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030481">
              <w:rPr>
                <w:sz w:val="28"/>
              </w:rPr>
              <w:t>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C67267">
              <w:rPr>
                <w:sz w:val="28"/>
              </w:rPr>
              <w:t>ий для жителей поселения до – 16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030481">
              <w:rPr>
                <w:sz w:val="28"/>
              </w:rPr>
              <w:t>2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13578</w:t>
            </w:r>
            <w:r w:rsidRPr="00617AF7">
              <w:rPr>
                <w:sz w:val="28"/>
              </w:rPr>
              <w:t xml:space="preserve"> экз.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BB7515">
              <w:rPr>
                <w:sz w:val="28"/>
              </w:rPr>
              <w:t>16425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454816">
      <w:pPr>
        <w:pStyle w:val="a5"/>
        <w:jc w:val="center"/>
        <w:rPr>
          <w:b/>
          <w:sz w:val="28"/>
        </w:rPr>
      </w:pPr>
      <w:bookmarkStart w:id="0" w:name="sub_1200"/>
    </w:p>
    <w:p w:rsidR="00507E95" w:rsidRDefault="00507E95" w:rsidP="00231089">
      <w:pPr>
        <w:pStyle w:val="a5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</w:t>
      </w:r>
      <w:r w:rsidRPr="00454816">
        <w:rPr>
          <w:sz w:val="28"/>
        </w:rPr>
        <w:lastRenderedPageBreak/>
        <w:t>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C67267" w:rsidP="008011CB">
      <w:pPr>
        <w:pStyle w:val="a5"/>
        <w:jc w:val="both"/>
        <w:rPr>
          <w:sz w:val="28"/>
        </w:rPr>
      </w:pPr>
      <w:r>
        <w:rPr>
          <w:sz w:val="28"/>
        </w:rPr>
        <w:t>В 2024-2026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12675" w:rsidRDefault="00A12675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78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AF77A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242FC" w:rsidRDefault="00FB0683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Всего    202</w:t>
            </w:r>
            <w:r w:rsidR="006F2C05">
              <w:rPr>
                <w:sz w:val="28"/>
              </w:rPr>
              <w:t>4-2026</w:t>
            </w:r>
            <w:r w:rsidR="00454816" w:rsidRPr="002242FC">
              <w:rPr>
                <w:sz w:val="28"/>
              </w:rPr>
              <w:t xml:space="preserve"> г.                (руб.)</w:t>
            </w:r>
          </w:p>
          <w:p w:rsidR="00454816" w:rsidRPr="002242FC" w:rsidRDefault="00D50E86" w:rsidP="007F34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10652782,46</w:t>
            </w:r>
          </w:p>
        </w:tc>
        <w:tc>
          <w:tcPr>
            <w:tcW w:w="463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242FC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D50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50E86">
              <w:rPr>
                <w:rFonts w:ascii="Times New Roman" w:hAnsi="Times New Roman"/>
                <w:bCs/>
                <w:sz w:val="24"/>
                <w:szCs w:val="24"/>
              </w:rPr>
              <w:t> 282 055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242FC" w:rsidRDefault="006F2C05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МБ</w:t>
            </w:r>
          </w:p>
          <w:p w:rsidR="006F2C05" w:rsidRPr="002242FC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242FC" w:rsidRDefault="0071404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Бюджет </w:t>
            </w:r>
            <w:r w:rsidRPr="002242FC">
              <w:rPr>
                <w:sz w:val="28"/>
              </w:rPr>
              <w:lastRenderedPageBreak/>
              <w:t>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D50E86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160 571,00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242FC" w:rsidRDefault="00C7271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6F2C05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B040B4">
              <w:rPr>
                <w:sz w:val="28"/>
              </w:rPr>
              <w:t>17110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B040B4">
              <w:rPr>
                <w:sz w:val="28"/>
              </w:rPr>
              <w:t>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B040B4">
              <w:rPr>
                <w:sz w:val="28"/>
              </w:rPr>
              <w:t>ований для жителей поселения -16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t xml:space="preserve"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</w:t>
      </w:r>
      <w:r w:rsidRPr="00454816">
        <w:rPr>
          <w:sz w:val="28"/>
        </w:rPr>
        <w:lastRenderedPageBreak/>
        <w:t>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B040B4" w:rsidP="00462AEE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B040B4">
              <w:rPr>
                <w:color w:val="000000"/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040B4">
              <w:rPr>
                <w:sz w:val="28"/>
              </w:rPr>
              <w:t>6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6F2C05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2024</w:t>
      </w:r>
      <w:r w:rsidR="00E46F01">
        <w:rPr>
          <w:sz w:val="28"/>
        </w:rPr>
        <w:t>– 202</w:t>
      </w:r>
      <w:r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3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5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 w:rsidR="00FB0683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2-й целевой </w:t>
            </w:r>
            <w:r w:rsidRPr="00454816">
              <w:rPr>
                <w:sz w:val="28"/>
              </w:rPr>
              <w:lastRenderedPageBreak/>
              <w:t>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3-й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E46F01"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2340"/>
        <w:gridCol w:w="1558"/>
        <w:gridCol w:w="1558"/>
        <w:gridCol w:w="1546"/>
      </w:tblGrid>
      <w:tr w:rsidR="00454816" w:rsidRPr="00454816" w:rsidTr="00532BC1"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C70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C6587E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D50E86" w:rsidP="00DE65CC">
            <w:pPr>
              <w:pStyle w:val="a5"/>
              <w:jc w:val="center"/>
            </w:pPr>
            <w:r>
              <w:rPr>
                <w:b/>
                <w:sz w:val="28"/>
              </w:rPr>
              <w:t>10 652 782,46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D50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50E86">
              <w:rPr>
                <w:rFonts w:ascii="Times New Roman" w:hAnsi="Times New Roman"/>
                <w:bCs/>
                <w:sz w:val="24"/>
                <w:szCs w:val="24"/>
              </w:rPr>
              <w:t> 282 055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2242FC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F2C05"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8A65D4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2C05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6F2C05" w:rsidRDefault="00D50E86" w:rsidP="00E021C7">
            <w:pPr>
              <w:pStyle w:val="a5"/>
              <w:jc w:val="center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="00E021C7">
              <w:rPr>
                <w:b/>
                <w:sz w:val="28"/>
              </w:rPr>
              <w:t> 492 211</w:t>
            </w:r>
            <w:r>
              <w:rPr>
                <w:b/>
                <w:sz w:val="28"/>
              </w:rPr>
              <w:t>,46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Средства Лежневского м/р: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E021C7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160 571,00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E021C7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160 571,00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E53DA2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454816" w:rsidRDefault="00E53DA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532BC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2024</w:t>
            </w:r>
            <w:r w:rsidRPr="00454816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6F2C0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2242FC" w:rsidRDefault="00617AF7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 w:rsidR="006F2C05"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="00454816" w:rsidRPr="002242FC">
              <w:rPr>
                <w:sz w:val="28"/>
              </w:rPr>
              <w:t xml:space="preserve"> г.                (руб.)                    </w:t>
            </w:r>
          </w:p>
          <w:p w:rsidR="00454816" w:rsidRPr="002242FC" w:rsidRDefault="002242FC" w:rsidP="00254F60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442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F2C05" w:rsidRPr="002242FC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F2C05" w:rsidRPr="002242FC" w:rsidRDefault="006F2C05" w:rsidP="00254F60">
            <w:pPr>
              <w:pStyle w:val="a5"/>
              <w:spacing w:after="240"/>
              <w:rPr>
                <w:sz w:val="28"/>
              </w:rPr>
            </w:pPr>
            <w:r w:rsidRPr="002242FC">
              <w:rPr>
                <w:sz w:val="28"/>
              </w:rPr>
              <w:t xml:space="preserve">Бюджет Лежневского м/р  </w:t>
            </w: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D90274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lastRenderedPageBreak/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lastRenderedPageBreak/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 Увеличение количества зарегистрированных 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B040B4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13</w:t>
            </w:r>
            <w:r w:rsidR="00067A9E">
              <w:rPr>
                <w:sz w:val="28"/>
              </w:rPr>
              <w:t>5</w:t>
            </w:r>
            <w:r w:rsidR="00B040B4">
              <w:rPr>
                <w:sz w:val="28"/>
              </w:rPr>
              <w:t>82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BB7515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6F2C05">
        <w:rPr>
          <w:sz w:val="28"/>
        </w:rPr>
        <w:t>4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6F2C05"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EA6B69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03048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</w:t>
            </w:r>
            <w:r w:rsidR="00B040B4"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B040B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</w:t>
            </w:r>
            <w:r w:rsidR="00B040B4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040B4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040B4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13582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B7515" w:rsidP="00030481">
            <w:pPr>
              <w:pStyle w:val="a5"/>
              <w:rPr>
                <w:sz w:val="28"/>
                <w:highlight w:val="yellow"/>
              </w:rPr>
            </w:pPr>
            <w:r w:rsidRPr="0025493C">
              <w:rPr>
                <w:sz w:val="28"/>
              </w:rPr>
              <w:t>16425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lastRenderedPageBreak/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E46F0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6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2242FC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2242FC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2242FC">
              <w:rPr>
                <w:b/>
                <w:sz w:val="28"/>
              </w:rPr>
              <w:t>0</w:t>
            </w:r>
            <w:r w:rsidR="002242FC" w:rsidRPr="002242FC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D90274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</w:tr>
    </w:tbl>
    <w:p w:rsidR="00D94014" w:rsidRDefault="00D94014" w:rsidP="00D940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5353"/>
      </w:tblGrid>
      <w:tr w:rsidR="00D94014" w:rsidRPr="00454816" w:rsidTr="006F1B53">
        <w:trPr>
          <w:trHeight w:val="1020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2024-2026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D94014" w:rsidRPr="00454816" w:rsidTr="006F1B53">
        <w:trPr>
          <w:trHeight w:val="559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>привлечение населения к здоровому образу жизни и к участию в спортивных мероприятиях, проходящих в Новогоркинском сельском поселении</w:t>
            </w:r>
            <w:r>
              <w:rPr>
                <w:kern w:val="24"/>
                <w:sz w:val="28"/>
              </w:rPr>
              <w:t>.</w:t>
            </w:r>
          </w:p>
        </w:tc>
      </w:tr>
    </w:tbl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D94014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2024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p w:rsidR="00D94014" w:rsidRPr="00454816" w:rsidRDefault="00D94014" w:rsidP="00D94014">
      <w:pPr>
        <w:pStyle w:val="a5"/>
        <w:jc w:val="center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26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D94014" w:rsidRPr="00454816" w:rsidTr="006F1B53">
        <w:trPr>
          <w:trHeight w:val="1093"/>
        </w:trPr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26" w:type="dxa"/>
          </w:tcPr>
          <w:p w:rsidR="00D94014" w:rsidRPr="00D94014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</w:tbl>
    <w:p w:rsidR="00D94014" w:rsidRDefault="00D94014" w:rsidP="00D94014">
      <w:pPr>
        <w:pStyle w:val="a5"/>
        <w:jc w:val="both"/>
        <w:rPr>
          <w:b/>
          <w:color w:val="000000"/>
          <w:sz w:val="28"/>
        </w:rPr>
      </w:pPr>
    </w:p>
    <w:p w:rsidR="00D94014" w:rsidRPr="00454816" w:rsidRDefault="00D94014" w:rsidP="00D94014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Pr="00454816" w:rsidRDefault="00D94014" w:rsidP="00D94014">
      <w:pPr>
        <w:pStyle w:val="a5"/>
        <w:rPr>
          <w:b/>
          <w:sz w:val="28"/>
        </w:rPr>
      </w:pPr>
      <w:r>
        <w:rPr>
          <w:sz w:val="28"/>
        </w:rPr>
        <w:t>Подпрограмма рассчитана на 2024 – 2026</w:t>
      </w:r>
      <w:r w:rsidRPr="00454816">
        <w:rPr>
          <w:sz w:val="28"/>
        </w:rPr>
        <w:t xml:space="preserve"> годы.</w:t>
      </w:r>
    </w:p>
    <w:p w:rsidR="00D94014" w:rsidRDefault="00D94014" w:rsidP="00D94014">
      <w:pPr>
        <w:pStyle w:val="a5"/>
        <w:jc w:val="center"/>
        <w:rPr>
          <w:b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D94014" w:rsidRPr="00454816" w:rsidRDefault="00D94014" w:rsidP="00D94014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739"/>
        <w:gridCol w:w="1471"/>
        <w:gridCol w:w="1061"/>
        <w:gridCol w:w="993"/>
        <w:gridCol w:w="993"/>
      </w:tblGrid>
      <w:tr w:rsidR="00D94014" w:rsidRPr="00454816" w:rsidTr="006F1B53">
        <w:tc>
          <w:tcPr>
            <w:tcW w:w="655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982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индикатора(показателя)</w:t>
            </w:r>
          </w:p>
        </w:tc>
        <w:tc>
          <w:tcPr>
            <w:tcW w:w="4177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D94014" w:rsidRPr="00454816" w:rsidTr="006F1B53">
        <w:tc>
          <w:tcPr>
            <w:tcW w:w="655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4982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D94014" w:rsidRPr="00454816" w:rsidTr="006F1B53">
        <w:trPr>
          <w:trHeight w:val="1973"/>
        </w:trPr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численность населения, систематически, участвующих в спортивных мероприятиях общей численности населения.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</w:tbl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D94014" w:rsidRPr="00454816" w:rsidRDefault="00D94014" w:rsidP="00D94014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rPr>
          <w:sz w:val="28"/>
        </w:rPr>
      </w:pPr>
    </w:p>
    <w:tbl>
      <w:tblPr>
        <w:tblW w:w="96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53"/>
        <w:gridCol w:w="1466"/>
        <w:gridCol w:w="1630"/>
        <w:gridCol w:w="1439"/>
        <w:gridCol w:w="28"/>
      </w:tblGrid>
      <w:tr w:rsidR="00D94014" w:rsidRPr="00454816" w:rsidTr="006F1B53">
        <w:trPr>
          <w:trHeight w:val="569"/>
          <w:tblHeader/>
          <w:tblCellSpacing w:w="5" w:type="nil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D94014" w:rsidRPr="00454816" w:rsidTr="006F1B53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D94014" w:rsidRPr="00454816" w:rsidTr="006F1B53">
        <w:trPr>
          <w:gridAfter w:val="1"/>
          <w:wAfter w:w="28" w:type="dxa"/>
          <w:trHeight w:val="312"/>
          <w:tblCellSpacing w:w="5" w:type="nil"/>
        </w:trPr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E545BB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по подпрограмме:   </w:t>
            </w:r>
            <w:r w:rsidR="00E545BB">
              <w:rPr>
                <w:b/>
                <w:sz w:val="28"/>
              </w:rPr>
              <w:t>454 545,45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E545BB" w:rsidP="00E545BB">
            <w:pPr>
              <w:pStyle w:val="a5"/>
              <w:rPr>
                <w:sz w:val="28"/>
              </w:rPr>
            </w:pPr>
            <w:r>
              <w:rPr>
                <w:sz w:val="28"/>
              </w:rPr>
              <w:t>454 545,45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3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</w:tr>
      <w:tr w:rsidR="00D94014" w:rsidRPr="00454816" w:rsidTr="006F1B53">
        <w:trPr>
          <w:gridAfter w:val="1"/>
          <w:wAfter w:w="28" w:type="dxa"/>
          <w:trHeight w:val="394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E545BB" w:rsidP="006F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0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E545BB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450 00</w:t>
            </w:r>
            <w:r w:rsidR="00D94014" w:rsidRPr="00D90274">
              <w:rPr>
                <w:sz w:val="28"/>
              </w:rPr>
              <w:t>0</w:t>
            </w:r>
            <w:r w:rsidR="00D94014">
              <w:rPr>
                <w:sz w:val="28"/>
              </w:rPr>
              <w:t>,00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28"/>
        </w:rPr>
      </w:pPr>
    </w:p>
    <w:p w:rsidR="00D94014" w:rsidRPr="00541201" w:rsidRDefault="00D94014" w:rsidP="00D94014">
      <w:pPr>
        <w:rPr>
          <w:rFonts w:ascii="Times New Roman" w:hAnsi="Times New Roman" w:cs="Times New Roman"/>
        </w:rPr>
      </w:pPr>
    </w:p>
    <w:p w:rsidR="00D94014" w:rsidRDefault="00D9401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Подпрограмма</w:t>
      </w:r>
      <w:r w:rsidRPr="000C6AF9">
        <w:rPr>
          <w:rFonts w:ascii="Times New Roman" w:hAnsi="Times New Roman" w:cs="Times New Roman"/>
          <w:b/>
          <w:sz w:val="28"/>
          <w:szCs w:val="24"/>
        </w:rPr>
        <w:t xml:space="preserve"> энергосбережения и повышения энергетической эффективности </w:t>
      </w: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 xml:space="preserve">Муниципального казенного учреждении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«Новогоркинское социально-культурное объединение»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A665FF" w:rsidRPr="000C6AF9" w:rsidRDefault="00A665FF" w:rsidP="00A42802">
            <w:pPr>
              <w:pStyle w:val="Default"/>
              <w:jc w:val="both"/>
              <w:rPr>
                <w:sz w:val="23"/>
                <w:szCs w:val="23"/>
              </w:rPr>
            </w:pPr>
            <w:r w:rsidRPr="000C6AF9">
              <w:rPr>
                <w:sz w:val="23"/>
                <w:szCs w:val="23"/>
              </w:rPr>
              <w:t xml:space="preserve">- Постановление Правительства РФ от 31.12.2009г. № 1225 « 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A665FF" w:rsidRPr="000C6AF9" w:rsidRDefault="00A665FF" w:rsidP="00A42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-Приказ МинэнергоРоссийской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A665FF" w:rsidRDefault="00A665FF" w:rsidP="00A42802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  <w:p w:rsidR="00A665FF" w:rsidRPr="000C6AF9" w:rsidRDefault="00A665FF" w:rsidP="00A42802">
            <w:pPr>
              <w:pStyle w:val="a5"/>
            </w:pPr>
            <w:r>
              <w:t>- ПОСТАНОВЛЕНИЕ ПРАВИТЕЛЬСТВА РФ от 07.10.2019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A665FF" w:rsidRPr="000C6AF9" w:rsidRDefault="00A665FF" w:rsidP="00A4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A665FF" w:rsidRPr="000C6AF9" w:rsidRDefault="00A665FF" w:rsidP="00A42802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16368 кВт.ч        /  208,268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15550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197,855  Гкал     /      90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14773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187,963 Гкал    /        85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20,305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0C6A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энергетические ресурсы на 5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 год.</w:t>
            </w:r>
          </w:p>
        </w:tc>
      </w:tr>
      <w:tr w:rsidR="00A665FF" w:rsidRPr="000C6AF9" w:rsidTr="00A42802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A665FF" w:rsidRPr="000C6AF9" w:rsidTr="00A42802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</w:p>
    <w:p w:rsidR="00A665FF" w:rsidRPr="000C6AF9" w:rsidRDefault="00A665FF" w:rsidP="00A665FF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A665FF" w:rsidRPr="000C6AF9" w:rsidRDefault="00A665FF" w:rsidP="00A665FF">
      <w:pPr>
        <w:pStyle w:val="ac"/>
        <w:spacing w:after="0"/>
        <w:ind w:left="0"/>
        <w:jc w:val="center"/>
        <w:rPr>
          <w:b/>
        </w:rPr>
      </w:pPr>
    </w:p>
    <w:p w:rsidR="00A665FF" w:rsidRPr="000C6AF9" w:rsidRDefault="00A665FF" w:rsidP="00A665FF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>
        <w:t>1401,5</w:t>
      </w:r>
      <w:r w:rsidRPr="000C6AF9">
        <w:t xml:space="preserve"> кв.м ),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Объем зданий соответственно составляет: </w:t>
      </w:r>
      <w:r w:rsidRPr="00573167">
        <w:t>15281</w:t>
      </w:r>
      <w:r w:rsidRPr="000C6AF9">
        <w:t xml:space="preserve"> куб.м., 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>
        <w:t>енческий- 2 чел. специалисты – 5</w:t>
      </w:r>
      <w:r w:rsidRPr="000C6AF9">
        <w:t xml:space="preserve"> чел., обслуживающий персонал-1 чел.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156"/>
        <w:gridCol w:w="993"/>
        <w:gridCol w:w="1164"/>
        <w:gridCol w:w="1005"/>
        <w:gridCol w:w="1162"/>
        <w:gridCol w:w="928"/>
        <w:gridCol w:w="1104"/>
      </w:tblGrid>
      <w:tr w:rsidR="00A665FF" w:rsidRPr="000C6AF9" w:rsidTr="00A42802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A665FF" w:rsidRPr="000C6AF9" w:rsidTr="00A42802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A665FF" w:rsidRPr="000C6AF9" w:rsidTr="00A42802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219,229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1045.263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</w:tr>
    </w:tbl>
    <w:p w:rsidR="00A665FF" w:rsidRPr="00573167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Финансовые затраты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   составили </w:t>
      </w:r>
      <w:r w:rsidRPr="0069287C">
        <w:rPr>
          <w:rFonts w:ascii="Times New Roman" w:hAnsi="Times New Roman" w:cs="Times New Roman"/>
          <w:bCs/>
        </w:rPr>
        <w:t>1167533</w:t>
      </w:r>
      <w:r w:rsidRPr="0069287C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-установка  « датчиков движения» и «датчик освещенности».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A665FF" w:rsidRPr="000C6AF9" w:rsidRDefault="00A665FF" w:rsidP="00A665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затрат в 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энергоресурсосбережения до </w:t>
      </w:r>
      <w:r>
        <w:rPr>
          <w:rFonts w:ascii="Times New Roman" w:hAnsi="Times New Roman" w:cs="Times New Roman"/>
          <w:sz w:val="24"/>
          <w:szCs w:val="24"/>
        </w:rPr>
        <w:t>5%;</w:t>
      </w:r>
    </w:p>
    <w:p w:rsidR="00A665FF" w:rsidRPr="000C6AF9" w:rsidRDefault="00A665FF" w:rsidP="00A665FF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>
        <w:rPr>
          <w:rFonts w:ascii="Times New Roman" w:hAnsi="Times New Roman" w:cs="Times New Roman"/>
          <w:sz w:val="24"/>
          <w:szCs w:val="24"/>
        </w:rPr>
        <w:t>мы предусмотрена в период с 2024 по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-2024-2025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-2026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A665FF" w:rsidRPr="00AB712F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665FF" w:rsidRPr="000C6AF9" w:rsidRDefault="00A665FF" w:rsidP="00A665FF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A665FF" w:rsidRPr="000C6AF9" w:rsidRDefault="00A665FF" w:rsidP="00A665FF">
      <w:pPr>
        <w:pStyle w:val="consplusnormal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Подпрограмма базируется на следующих основных принципах: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1. Регулирование, надзор и управление энергосбережением;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2. Обязательность учета топливно-энергетических ресурсов;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3. Экономическая целесообразность энергосбережения;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4. Всеобщая заинтересованность и инициативность в процессе энергосбережения.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665FF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</w:p>
    <w:p w:rsidR="00A665FF" w:rsidRPr="000C6AF9" w:rsidRDefault="00A665FF" w:rsidP="00A665FF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3827"/>
        <w:gridCol w:w="1984"/>
        <w:gridCol w:w="1985"/>
        <w:gridCol w:w="913"/>
      </w:tblGrid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6AF9">
              <w:rPr>
                <w:rFonts w:ascii="Times New Roman" w:hAnsi="Times New Roman" w:cs="Times New Roman"/>
              </w:rPr>
              <w:t xml:space="preserve"> раз в год</w:t>
            </w: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Фролова И.Н.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Мероприятия подпрограммы подлежат уточнению: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  <w:sectPr w:rsidR="00A665FF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A665FF" w:rsidRPr="000C6AF9" w:rsidRDefault="00A665FF" w:rsidP="00A665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A665FF" w:rsidRPr="000C6AF9" w:rsidRDefault="00A665FF" w:rsidP="00A665F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>
        <w:rPr>
          <w:rFonts w:ascii="Times New Roman" w:hAnsi="Times New Roman" w:cs="Times New Roman"/>
          <w:sz w:val="24"/>
          <w:szCs w:val="24"/>
        </w:rPr>
        <w:t>ы,  не менее 15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A665FF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Toc231197050"/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16368 кВт.ч        /  208,268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-  15550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197,855  Гкал     /      90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14773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187,963 Гкал    /        85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За период реализации подпрограммы будет сэкономлено </w:t>
      </w:r>
      <w:r>
        <w:rPr>
          <w:rFonts w:ascii="Times New Roman" w:hAnsi="Times New Roman" w:cs="Times New Roman"/>
        </w:rPr>
        <w:t>101911,59</w:t>
      </w:r>
      <w:r w:rsidRPr="000C6AF9">
        <w:rPr>
          <w:rFonts w:ascii="Times New Roman" w:hAnsi="Times New Roman" w:cs="Times New Roman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рублей. </w:t>
      </w:r>
      <w:bookmarkEnd w:id="5"/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665FF" w:rsidRPr="000C6AF9" w:rsidRDefault="00A665FF" w:rsidP="00A665FF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418" w:tblpY="179"/>
        <w:tblW w:w="10863" w:type="dxa"/>
        <w:tblLook w:val="04A0"/>
      </w:tblPr>
      <w:tblGrid>
        <w:gridCol w:w="1466"/>
        <w:gridCol w:w="1153"/>
        <w:gridCol w:w="1699"/>
        <w:gridCol w:w="1443"/>
        <w:gridCol w:w="1166"/>
        <w:gridCol w:w="1257"/>
        <w:gridCol w:w="1257"/>
        <w:gridCol w:w="1422"/>
      </w:tblGrid>
      <w:tr w:rsidR="00A665FF" w:rsidTr="00A42802">
        <w:trPr>
          <w:trHeight w:val="2407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Показатель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Удельное годовое значение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Целевой уровень экономии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47,99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47,54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46,19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холодной воды, м3/чел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1,66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Default="00A665FF" w:rsidP="00A42802">
            <w:pPr>
              <w:jc w:val="right"/>
              <w:rPr>
                <w:rFonts w:ascii="Stem" w:hAnsi="Stem" w:cs="Calibri"/>
                <w:color w:val="000000"/>
                <w:sz w:val="20"/>
                <w:szCs w:val="20"/>
              </w:rPr>
            </w:pPr>
            <w:r>
              <w:rPr>
                <w:rFonts w:ascii="Stem" w:hAnsi="Stem" w:cs="Calibri"/>
                <w:color w:val="000000"/>
                <w:sz w:val="20"/>
                <w:szCs w:val="20"/>
              </w:rPr>
              <w:t>Потребление электрической энергии, кВтч/м2</w:t>
            </w:r>
          </w:p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13,40</w:t>
            </w:r>
          </w:p>
        </w:tc>
      </w:tr>
    </w:tbl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Sect="00A4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A665FF" w:rsidRPr="000C6AF9" w:rsidRDefault="00A665FF" w:rsidP="00A665FF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>
        <w:rPr>
          <w:sz w:val="22"/>
          <w:szCs w:val="22"/>
        </w:rPr>
        <w:t>МКУ «Новогоркинское СКО» на 2024-2026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A665FF" w:rsidRPr="000C6AF9" w:rsidTr="00A42802">
        <w:trPr>
          <w:trHeight w:val="273"/>
        </w:trPr>
        <w:tc>
          <w:tcPr>
            <w:tcW w:w="5320" w:type="dxa"/>
            <w:vMerge w:val="restart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A665FF" w:rsidRPr="000C6AF9" w:rsidTr="00A42802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1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5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7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1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5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8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0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светильников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дверей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7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5FF" w:rsidRPr="000C6AF9" w:rsidRDefault="00A665FF" w:rsidP="00A665FF">
      <w:pPr>
        <w:spacing w:after="0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RPr="000C6AF9" w:rsidSect="00A42802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665FF" w:rsidRPr="000C6AF9" w:rsidRDefault="00A665FF" w:rsidP="00A665FF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66CDA">
        <w:rPr>
          <w:rFonts w:ascii="Times New Roman" w:hAnsi="Times New Roman" w:cs="Times New Roman"/>
        </w:rPr>
        <w:t>на 2024-2026  годы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931"/>
        <w:gridCol w:w="1381"/>
        <w:gridCol w:w="931"/>
        <w:gridCol w:w="1261"/>
        <w:gridCol w:w="931"/>
        <w:gridCol w:w="1481"/>
        <w:gridCol w:w="1937"/>
        <w:gridCol w:w="236"/>
        <w:gridCol w:w="2143"/>
        <w:gridCol w:w="1180"/>
        <w:gridCol w:w="76"/>
      </w:tblGrid>
      <w:tr w:rsidR="00A665FF" w:rsidRPr="00866CDA" w:rsidTr="00A42802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Экономия за 2024-2026 гг</w:t>
            </w:r>
          </w:p>
        </w:tc>
      </w:tr>
      <w:tr w:rsidR="00A665FF" w:rsidRPr="00866CDA" w:rsidTr="00A42802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16368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112120,8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15550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117091,5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14773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122320,44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- 1595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10200,36</w:t>
            </w:r>
          </w:p>
        </w:tc>
      </w:tr>
      <w:tr w:rsidR="00A665FF" w:rsidRPr="00866CDA" w:rsidTr="00A42802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7,53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8,28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3926,35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4091,4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4250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323,60</w:t>
            </w:r>
          </w:p>
        </w:tc>
      </w:tr>
      <w:tr w:rsidR="00A665FF" w:rsidRPr="00866CDA" w:rsidTr="00A42802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208,268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993000,99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197,855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1037688,14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187,963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1084388,62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-20,305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91387,63</w:t>
            </w:r>
          </w:p>
        </w:tc>
      </w:tr>
      <w:tr w:rsidR="00A665FF" w:rsidRPr="00866CDA" w:rsidTr="00A42802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4767,90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5244,69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5769,16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1109048,14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1158871,04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1210959,06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101911,59</w:t>
            </w:r>
          </w:p>
        </w:tc>
      </w:tr>
      <w:tr w:rsidR="00A665FF" w:rsidRPr="000C6AF9" w:rsidTr="00A42802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5FF" w:rsidRPr="00AB712F" w:rsidRDefault="00A665FF" w:rsidP="00A665FF">
      <w:pPr>
        <w:rPr>
          <w:rFonts w:ascii="Times New Roman" w:hAnsi="Times New Roman" w:cs="Times New Roman"/>
        </w:rPr>
      </w:pPr>
    </w:p>
    <w:p w:rsidR="00A665FF" w:rsidRDefault="00A665FF" w:rsidP="00A665FF"/>
    <w:p w:rsidR="00AB712F" w:rsidRPr="00AB712F" w:rsidRDefault="00AB712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AB712F" w:rsidRPr="00AB712F" w:rsidSect="00A665F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05" w:rsidRDefault="00DA5805" w:rsidP="002664F9">
      <w:pPr>
        <w:spacing w:after="0" w:line="240" w:lineRule="auto"/>
      </w:pPr>
      <w:r>
        <w:separator/>
      </w:r>
    </w:p>
  </w:endnote>
  <w:endnote w:type="continuationSeparator" w:id="1">
    <w:p w:rsidR="00DA5805" w:rsidRDefault="00DA5805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05" w:rsidRDefault="00DA5805" w:rsidP="002664F9">
      <w:pPr>
        <w:spacing w:after="0" w:line="240" w:lineRule="auto"/>
      </w:pPr>
      <w:r>
        <w:separator/>
      </w:r>
    </w:p>
  </w:footnote>
  <w:footnote w:type="continuationSeparator" w:id="1">
    <w:p w:rsidR="00DA5805" w:rsidRDefault="00DA5805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4031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6A22"/>
    <w:rsid w:val="001608AE"/>
    <w:rsid w:val="00165584"/>
    <w:rsid w:val="00166026"/>
    <w:rsid w:val="00184A92"/>
    <w:rsid w:val="0019068C"/>
    <w:rsid w:val="00191531"/>
    <w:rsid w:val="001B028B"/>
    <w:rsid w:val="001F08B1"/>
    <w:rsid w:val="001F10F6"/>
    <w:rsid w:val="00204AFD"/>
    <w:rsid w:val="00205701"/>
    <w:rsid w:val="00211DC6"/>
    <w:rsid w:val="002242FC"/>
    <w:rsid w:val="00231089"/>
    <w:rsid w:val="0025493C"/>
    <w:rsid w:val="00254F60"/>
    <w:rsid w:val="002664F9"/>
    <w:rsid w:val="0028076D"/>
    <w:rsid w:val="00281563"/>
    <w:rsid w:val="00282622"/>
    <w:rsid w:val="00286BB9"/>
    <w:rsid w:val="00290E01"/>
    <w:rsid w:val="002A1FBA"/>
    <w:rsid w:val="002A28B6"/>
    <w:rsid w:val="002A3856"/>
    <w:rsid w:val="002B19A9"/>
    <w:rsid w:val="002E7209"/>
    <w:rsid w:val="00312373"/>
    <w:rsid w:val="0033209D"/>
    <w:rsid w:val="00350F7E"/>
    <w:rsid w:val="003603E9"/>
    <w:rsid w:val="0036327A"/>
    <w:rsid w:val="00387666"/>
    <w:rsid w:val="0039217B"/>
    <w:rsid w:val="003B2AFA"/>
    <w:rsid w:val="003B4409"/>
    <w:rsid w:val="003C7FD8"/>
    <w:rsid w:val="003D2915"/>
    <w:rsid w:val="00404ED7"/>
    <w:rsid w:val="00406F76"/>
    <w:rsid w:val="00413629"/>
    <w:rsid w:val="004234CE"/>
    <w:rsid w:val="004239E0"/>
    <w:rsid w:val="00424112"/>
    <w:rsid w:val="00430920"/>
    <w:rsid w:val="00447962"/>
    <w:rsid w:val="00454816"/>
    <w:rsid w:val="00457879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7B98"/>
    <w:rsid w:val="00564E20"/>
    <w:rsid w:val="00573DB1"/>
    <w:rsid w:val="00580CDB"/>
    <w:rsid w:val="0058329B"/>
    <w:rsid w:val="005B404C"/>
    <w:rsid w:val="005C6181"/>
    <w:rsid w:val="005C75AE"/>
    <w:rsid w:val="005E0816"/>
    <w:rsid w:val="005E2AB7"/>
    <w:rsid w:val="005F42C2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5395B"/>
    <w:rsid w:val="00676126"/>
    <w:rsid w:val="0068124C"/>
    <w:rsid w:val="00685310"/>
    <w:rsid w:val="00696A39"/>
    <w:rsid w:val="006A0E56"/>
    <w:rsid w:val="006B1B2B"/>
    <w:rsid w:val="006C4100"/>
    <w:rsid w:val="006D08C3"/>
    <w:rsid w:val="006D40CD"/>
    <w:rsid w:val="006E1959"/>
    <w:rsid w:val="006E278F"/>
    <w:rsid w:val="006F0597"/>
    <w:rsid w:val="006F1B53"/>
    <w:rsid w:val="006F2C05"/>
    <w:rsid w:val="006F3C2D"/>
    <w:rsid w:val="006F5992"/>
    <w:rsid w:val="006F7EB4"/>
    <w:rsid w:val="00701835"/>
    <w:rsid w:val="0071404A"/>
    <w:rsid w:val="00725D55"/>
    <w:rsid w:val="007264D9"/>
    <w:rsid w:val="00726C96"/>
    <w:rsid w:val="00753EB7"/>
    <w:rsid w:val="0076372F"/>
    <w:rsid w:val="00763D21"/>
    <w:rsid w:val="0076673E"/>
    <w:rsid w:val="00771187"/>
    <w:rsid w:val="00774765"/>
    <w:rsid w:val="0078224A"/>
    <w:rsid w:val="00787406"/>
    <w:rsid w:val="007A73BE"/>
    <w:rsid w:val="007B35E3"/>
    <w:rsid w:val="007C70EC"/>
    <w:rsid w:val="007E2C15"/>
    <w:rsid w:val="007F2B3A"/>
    <w:rsid w:val="007F3453"/>
    <w:rsid w:val="007F3A6B"/>
    <w:rsid w:val="008011CB"/>
    <w:rsid w:val="008047CC"/>
    <w:rsid w:val="00807595"/>
    <w:rsid w:val="00826B02"/>
    <w:rsid w:val="00830C97"/>
    <w:rsid w:val="00837C7A"/>
    <w:rsid w:val="00855F2B"/>
    <w:rsid w:val="008579D1"/>
    <w:rsid w:val="0086493C"/>
    <w:rsid w:val="0088665A"/>
    <w:rsid w:val="00892212"/>
    <w:rsid w:val="008A65D4"/>
    <w:rsid w:val="008C56DF"/>
    <w:rsid w:val="008E1765"/>
    <w:rsid w:val="008E601A"/>
    <w:rsid w:val="008F1F0B"/>
    <w:rsid w:val="0090408A"/>
    <w:rsid w:val="00911564"/>
    <w:rsid w:val="009144CB"/>
    <w:rsid w:val="00921AC1"/>
    <w:rsid w:val="00925C56"/>
    <w:rsid w:val="00926DF1"/>
    <w:rsid w:val="009313CB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B1661"/>
    <w:rsid w:val="009B2EB5"/>
    <w:rsid w:val="009B361B"/>
    <w:rsid w:val="009E30BE"/>
    <w:rsid w:val="00A12675"/>
    <w:rsid w:val="00A20555"/>
    <w:rsid w:val="00A27F08"/>
    <w:rsid w:val="00A42802"/>
    <w:rsid w:val="00A53D8E"/>
    <w:rsid w:val="00A62698"/>
    <w:rsid w:val="00A665FF"/>
    <w:rsid w:val="00A75761"/>
    <w:rsid w:val="00AA3032"/>
    <w:rsid w:val="00AB11F0"/>
    <w:rsid w:val="00AB546E"/>
    <w:rsid w:val="00AB669A"/>
    <w:rsid w:val="00AB712F"/>
    <w:rsid w:val="00AC05DC"/>
    <w:rsid w:val="00AD2A52"/>
    <w:rsid w:val="00AF77A8"/>
    <w:rsid w:val="00B040B4"/>
    <w:rsid w:val="00B05679"/>
    <w:rsid w:val="00B2268C"/>
    <w:rsid w:val="00B305E7"/>
    <w:rsid w:val="00B65834"/>
    <w:rsid w:val="00B67353"/>
    <w:rsid w:val="00B70DF9"/>
    <w:rsid w:val="00B8135F"/>
    <w:rsid w:val="00B81833"/>
    <w:rsid w:val="00B82E92"/>
    <w:rsid w:val="00B87964"/>
    <w:rsid w:val="00BB61CB"/>
    <w:rsid w:val="00BB7515"/>
    <w:rsid w:val="00BC79B5"/>
    <w:rsid w:val="00BD48D4"/>
    <w:rsid w:val="00BD76F3"/>
    <w:rsid w:val="00BF2C62"/>
    <w:rsid w:val="00BF5B54"/>
    <w:rsid w:val="00C10B5A"/>
    <w:rsid w:val="00C1510E"/>
    <w:rsid w:val="00C22231"/>
    <w:rsid w:val="00C30330"/>
    <w:rsid w:val="00C477A8"/>
    <w:rsid w:val="00C6587E"/>
    <w:rsid w:val="00C66122"/>
    <w:rsid w:val="00C67267"/>
    <w:rsid w:val="00C7271A"/>
    <w:rsid w:val="00C92227"/>
    <w:rsid w:val="00CA00E1"/>
    <w:rsid w:val="00CA6AD4"/>
    <w:rsid w:val="00CB4E9B"/>
    <w:rsid w:val="00CC41EE"/>
    <w:rsid w:val="00CF3030"/>
    <w:rsid w:val="00D038A7"/>
    <w:rsid w:val="00D31CBF"/>
    <w:rsid w:val="00D348B2"/>
    <w:rsid w:val="00D3795E"/>
    <w:rsid w:val="00D50E86"/>
    <w:rsid w:val="00D778FA"/>
    <w:rsid w:val="00D90274"/>
    <w:rsid w:val="00D94014"/>
    <w:rsid w:val="00DA5805"/>
    <w:rsid w:val="00DB10BB"/>
    <w:rsid w:val="00DB7D5B"/>
    <w:rsid w:val="00DC5092"/>
    <w:rsid w:val="00DC6DFC"/>
    <w:rsid w:val="00DC7055"/>
    <w:rsid w:val="00DE5771"/>
    <w:rsid w:val="00DE65CC"/>
    <w:rsid w:val="00E021C7"/>
    <w:rsid w:val="00E05065"/>
    <w:rsid w:val="00E06176"/>
    <w:rsid w:val="00E31EF0"/>
    <w:rsid w:val="00E46F01"/>
    <w:rsid w:val="00E514FB"/>
    <w:rsid w:val="00E5227C"/>
    <w:rsid w:val="00E53DA2"/>
    <w:rsid w:val="00E545BB"/>
    <w:rsid w:val="00E66C7A"/>
    <w:rsid w:val="00E74511"/>
    <w:rsid w:val="00E8285E"/>
    <w:rsid w:val="00E91EA3"/>
    <w:rsid w:val="00EA3A20"/>
    <w:rsid w:val="00EA642E"/>
    <w:rsid w:val="00EA6B69"/>
    <w:rsid w:val="00EA747D"/>
    <w:rsid w:val="00EB367C"/>
    <w:rsid w:val="00EC55B6"/>
    <w:rsid w:val="00ED5403"/>
    <w:rsid w:val="00EE0F6B"/>
    <w:rsid w:val="00EE4F43"/>
    <w:rsid w:val="00EF0DDE"/>
    <w:rsid w:val="00EF6CC9"/>
    <w:rsid w:val="00F11918"/>
    <w:rsid w:val="00F15B0F"/>
    <w:rsid w:val="00F15FE3"/>
    <w:rsid w:val="00F31880"/>
    <w:rsid w:val="00F4171A"/>
    <w:rsid w:val="00F5035C"/>
    <w:rsid w:val="00F6060D"/>
    <w:rsid w:val="00F7133E"/>
    <w:rsid w:val="00F75257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uiPriority w:val="59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8145</Words>
  <Characters>46433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2024-05-17T10:50:00Z</cp:lastPrinted>
  <dcterms:created xsi:type="dcterms:W3CDTF">2023-12-26T11:57:00Z</dcterms:created>
  <dcterms:modified xsi:type="dcterms:W3CDTF">2024-05-17T10:50:00Z</dcterms:modified>
</cp:coreProperties>
</file>